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BC" w:rsidRDefault="006B11BC">
      <w:pPr>
        <w:rPr>
          <w:lang w:val="es-ES_tradnl"/>
        </w:rPr>
      </w:pPr>
    </w:p>
    <w:tbl>
      <w:tblPr>
        <w:tblStyle w:val="Tablaconcuadrcula"/>
        <w:tblW w:w="10207" w:type="dxa"/>
        <w:tblInd w:w="-743" w:type="dxa"/>
        <w:tblLook w:val="04A0"/>
      </w:tblPr>
      <w:tblGrid>
        <w:gridCol w:w="4112"/>
        <w:gridCol w:w="1701"/>
        <w:gridCol w:w="4394"/>
      </w:tblGrid>
      <w:tr w:rsidR="007D709F" w:rsidTr="007D709F">
        <w:tc>
          <w:tcPr>
            <w:tcW w:w="4112" w:type="dxa"/>
          </w:tcPr>
          <w:p w:rsidR="007D709F" w:rsidRDefault="007D709F">
            <w:pPr>
              <w:rPr>
                <w:b/>
              </w:rPr>
            </w:pPr>
            <w:r>
              <w:rPr>
                <w:b/>
              </w:rPr>
              <w:t>Party in Charge:</w:t>
            </w:r>
          </w:p>
          <w:p w:rsidR="007D709F" w:rsidRDefault="007D709F">
            <w:pPr>
              <w:rPr>
                <w:b/>
                <w:lang w:val="es-ES_tradnl"/>
              </w:rPr>
            </w:pPr>
          </w:p>
          <w:p w:rsidR="007D709F" w:rsidRPr="007D789A" w:rsidRDefault="007D789A">
            <w:r>
              <w:t xml:space="preserve">Deputy Vice-Rector for Research and Innovation </w:t>
            </w:r>
          </w:p>
          <w:p w:rsidR="007D709F" w:rsidRPr="006B11BC" w:rsidRDefault="007D709F">
            <w:pPr>
              <w:rPr>
                <w:b/>
                <w:lang w:val="es-ES_tradnl"/>
              </w:rPr>
            </w:pPr>
          </w:p>
        </w:tc>
        <w:tc>
          <w:tcPr>
            <w:tcW w:w="1701" w:type="dxa"/>
          </w:tcPr>
          <w:p w:rsidR="007D709F" w:rsidRDefault="007D709F">
            <w:pPr>
              <w:rPr>
                <w:b/>
              </w:rPr>
            </w:pPr>
            <w:r>
              <w:rPr>
                <w:b/>
              </w:rPr>
              <w:t>Start Date:</w:t>
            </w:r>
          </w:p>
          <w:p w:rsidR="00A56DDD" w:rsidRDefault="00A56DDD">
            <w:pPr>
              <w:rPr>
                <w:b/>
                <w:lang w:val="es-ES_tradnl"/>
              </w:rPr>
            </w:pPr>
          </w:p>
          <w:p w:rsidR="00A56DDD" w:rsidRPr="00A56DDD" w:rsidRDefault="007D789A">
            <w:r>
              <w:t>March 2020</w:t>
            </w:r>
          </w:p>
        </w:tc>
        <w:tc>
          <w:tcPr>
            <w:tcW w:w="4394" w:type="dxa"/>
          </w:tcPr>
          <w:p w:rsidR="007D709F" w:rsidRDefault="00A24F21">
            <w:pPr>
              <w:rPr>
                <w:b/>
              </w:rPr>
            </w:pPr>
            <w:r>
              <w:rPr>
                <w:b/>
              </w:rPr>
              <w:t>Associated to Action:</w:t>
            </w:r>
          </w:p>
          <w:p w:rsidR="00A56DDD" w:rsidRPr="006B11BC" w:rsidRDefault="00A56DDD">
            <w:pPr>
              <w:rPr>
                <w:b/>
                <w:lang w:val="es-ES_tradnl"/>
              </w:rPr>
            </w:pPr>
          </w:p>
          <w:p w:rsidR="007D709F" w:rsidRPr="006B11BC" w:rsidRDefault="006A086B" w:rsidP="00533E50">
            <w:pPr>
              <w:rPr>
                <w:b/>
              </w:rPr>
            </w:pPr>
            <w:r>
              <w:t>ACT 10 Ensure calls for the selection of research staff include information on the assessment scales that will be applied to the candidates</w:t>
            </w:r>
          </w:p>
        </w:tc>
      </w:tr>
    </w:tbl>
    <w:p w:rsidR="006B11BC" w:rsidRDefault="006B11BC">
      <w:pPr>
        <w:rPr>
          <w:lang w:val="es-ES_tradnl"/>
        </w:rPr>
      </w:pPr>
    </w:p>
    <w:tbl>
      <w:tblPr>
        <w:tblStyle w:val="Tablaconcuadrcula"/>
        <w:tblW w:w="10207" w:type="dxa"/>
        <w:tblInd w:w="-743" w:type="dxa"/>
        <w:tblLook w:val="04A0"/>
      </w:tblPr>
      <w:tblGrid>
        <w:gridCol w:w="10207"/>
      </w:tblGrid>
      <w:tr w:rsidR="006B11BC" w:rsidTr="006B11BC">
        <w:tc>
          <w:tcPr>
            <w:tcW w:w="10207" w:type="dxa"/>
          </w:tcPr>
          <w:p w:rsidR="006B11BC" w:rsidRDefault="006B11BC">
            <w:pPr>
              <w:rPr>
                <w:b/>
              </w:rPr>
            </w:pPr>
            <w:r>
              <w:rPr>
                <w:b/>
              </w:rPr>
              <w:t>Way of Obtaining the Data:</w:t>
            </w:r>
          </w:p>
          <w:p w:rsidR="006B11BC" w:rsidRDefault="006B11BC">
            <w:pPr>
              <w:rPr>
                <w:b/>
                <w:lang w:val="es-ES_tradnl"/>
              </w:rPr>
            </w:pPr>
          </w:p>
          <w:p w:rsidR="0031747D" w:rsidRPr="0031747D" w:rsidRDefault="0031747D">
            <w:r>
              <w:t>Survey</w:t>
            </w:r>
          </w:p>
          <w:p w:rsidR="006B11BC" w:rsidRDefault="006B11BC">
            <w:pPr>
              <w:rPr>
                <w:b/>
                <w:lang w:val="es-ES_tradnl"/>
              </w:rPr>
            </w:pPr>
          </w:p>
          <w:p w:rsidR="006B11BC" w:rsidRDefault="006B11BC">
            <w:pPr>
              <w:rPr>
                <w:b/>
                <w:lang w:val="es-ES_tradnl"/>
              </w:rPr>
            </w:pPr>
          </w:p>
          <w:p w:rsidR="006B11BC" w:rsidRPr="006B11BC" w:rsidRDefault="006B11BC">
            <w:pPr>
              <w:rPr>
                <w:b/>
                <w:lang w:val="es-ES_tradnl"/>
              </w:rPr>
            </w:pPr>
          </w:p>
        </w:tc>
      </w:tr>
    </w:tbl>
    <w:p w:rsidR="006B11BC" w:rsidRDefault="006B11BC">
      <w:pPr>
        <w:rPr>
          <w:lang w:val="es-ES_tradnl"/>
        </w:rPr>
      </w:pPr>
    </w:p>
    <w:tbl>
      <w:tblPr>
        <w:tblStyle w:val="Tablaconcuadrcula"/>
        <w:tblW w:w="10207" w:type="dxa"/>
        <w:tblInd w:w="-743" w:type="dxa"/>
        <w:tblLook w:val="04A0"/>
      </w:tblPr>
      <w:tblGrid>
        <w:gridCol w:w="5065"/>
        <w:gridCol w:w="5142"/>
      </w:tblGrid>
      <w:tr w:rsidR="006B11BC" w:rsidTr="006B11BC">
        <w:tc>
          <w:tcPr>
            <w:tcW w:w="5065" w:type="dxa"/>
          </w:tcPr>
          <w:p w:rsidR="006B11BC" w:rsidRDefault="006B11BC">
            <w:pPr>
              <w:rPr>
                <w:b/>
              </w:rPr>
            </w:pPr>
            <w:r>
              <w:rPr>
                <w:b/>
              </w:rPr>
              <w:t>Unit of Measure:</w:t>
            </w:r>
          </w:p>
          <w:p w:rsidR="0031747D" w:rsidRDefault="0031747D">
            <w:pPr>
              <w:rPr>
                <w:b/>
                <w:lang w:val="es-ES_tradnl"/>
              </w:rPr>
            </w:pPr>
          </w:p>
          <w:p w:rsidR="0031747D" w:rsidRPr="00AE79C5" w:rsidRDefault="00DC67E8">
            <w:r>
              <w:t>Percentage</w:t>
            </w:r>
          </w:p>
        </w:tc>
        <w:tc>
          <w:tcPr>
            <w:tcW w:w="5142" w:type="dxa"/>
          </w:tcPr>
          <w:p w:rsidR="006B11BC" w:rsidRDefault="006B11BC">
            <w:pPr>
              <w:rPr>
                <w:b/>
              </w:rPr>
            </w:pPr>
            <w:r>
              <w:rPr>
                <w:b/>
              </w:rPr>
              <w:t>Data Collection Frequency:</w:t>
            </w:r>
          </w:p>
          <w:p w:rsidR="006B11BC" w:rsidRDefault="006B11BC">
            <w:pPr>
              <w:rPr>
                <w:b/>
                <w:lang w:val="es-ES_tradnl"/>
              </w:rPr>
            </w:pPr>
          </w:p>
          <w:p w:rsidR="006B11BC" w:rsidRPr="00AE79C5" w:rsidRDefault="0031747D">
            <w:r>
              <w:t xml:space="preserve">Yearly </w:t>
            </w:r>
          </w:p>
          <w:p w:rsidR="006B11BC" w:rsidRPr="006B11BC" w:rsidRDefault="006B11BC">
            <w:pPr>
              <w:rPr>
                <w:b/>
                <w:lang w:val="es-ES_tradnl"/>
              </w:rPr>
            </w:pPr>
          </w:p>
        </w:tc>
      </w:tr>
    </w:tbl>
    <w:p w:rsidR="00DB54A0" w:rsidRDefault="00DB54A0">
      <w:pPr>
        <w:rPr>
          <w:lang w:val="es-ES_tradnl"/>
        </w:rPr>
      </w:pPr>
    </w:p>
    <w:tbl>
      <w:tblPr>
        <w:tblStyle w:val="Tablaconcuadrcula"/>
        <w:tblW w:w="9463" w:type="dxa"/>
        <w:tblInd w:w="-743" w:type="dxa"/>
        <w:tblLook w:val="04A0"/>
      </w:tblPr>
      <w:tblGrid>
        <w:gridCol w:w="2243"/>
        <w:gridCol w:w="1585"/>
        <w:gridCol w:w="1843"/>
        <w:gridCol w:w="3792"/>
      </w:tblGrid>
      <w:tr w:rsidR="008B0169" w:rsidTr="008B0169">
        <w:tc>
          <w:tcPr>
            <w:tcW w:w="2243" w:type="dxa"/>
            <w:vAlign w:val="center"/>
          </w:tcPr>
          <w:p w:rsidR="008B0169" w:rsidRPr="00DB54A0" w:rsidRDefault="008B0169" w:rsidP="00DB54A0">
            <w:pPr>
              <w:jc w:val="center"/>
              <w:rPr>
                <w:b/>
              </w:rPr>
            </w:pPr>
            <w:r>
              <w:rPr>
                <w:b/>
              </w:rPr>
              <w:t>MONITORING DATE</w:t>
            </w:r>
          </w:p>
        </w:tc>
        <w:tc>
          <w:tcPr>
            <w:tcW w:w="1585" w:type="dxa"/>
            <w:vAlign w:val="center"/>
          </w:tcPr>
          <w:p w:rsidR="008B0169" w:rsidRPr="00DB54A0" w:rsidRDefault="00490FF1" w:rsidP="00A56DDD">
            <w:pPr>
              <w:jc w:val="center"/>
              <w:rPr>
                <w:b/>
              </w:rPr>
            </w:pPr>
            <w:r>
              <w:rPr>
                <w:b/>
              </w:rPr>
              <w:t>No. EXPECTED</w:t>
            </w:r>
          </w:p>
        </w:tc>
        <w:tc>
          <w:tcPr>
            <w:tcW w:w="1843" w:type="dxa"/>
            <w:vAlign w:val="center"/>
          </w:tcPr>
          <w:p w:rsidR="00490FF1" w:rsidRDefault="00490FF1" w:rsidP="00DB54A0">
            <w:pPr>
              <w:jc w:val="center"/>
              <w:rPr>
                <w:b/>
              </w:rPr>
            </w:pPr>
            <w:r>
              <w:rPr>
                <w:b/>
              </w:rPr>
              <w:t xml:space="preserve">No. </w:t>
            </w:r>
          </w:p>
          <w:p w:rsidR="008B0169" w:rsidRPr="00DB54A0" w:rsidRDefault="00490FF1" w:rsidP="00DB54A0">
            <w:pPr>
              <w:jc w:val="center"/>
              <w:rPr>
                <w:b/>
              </w:rPr>
            </w:pPr>
            <w:r>
              <w:rPr>
                <w:b/>
              </w:rPr>
              <w:t>OBTAINED</w:t>
            </w:r>
          </w:p>
        </w:tc>
        <w:tc>
          <w:tcPr>
            <w:tcW w:w="3792" w:type="dxa"/>
          </w:tcPr>
          <w:p w:rsidR="008B0169" w:rsidRPr="00DB54A0" w:rsidRDefault="008B0169" w:rsidP="00DB54A0">
            <w:pPr>
              <w:jc w:val="center"/>
              <w:rPr>
                <w:b/>
              </w:rPr>
            </w:pPr>
            <w:r>
              <w:rPr>
                <w:b/>
              </w:rPr>
              <w:t>COMMENTS, PROPOSALS FOR IMPROVEMENT</w:t>
            </w:r>
          </w:p>
        </w:tc>
      </w:tr>
      <w:tr w:rsidR="008B0169" w:rsidTr="008B0169">
        <w:tc>
          <w:tcPr>
            <w:tcW w:w="2243" w:type="dxa"/>
          </w:tcPr>
          <w:p w:rsidR="008B0169" w:rsidRDefault="0027080C">
            <w:r>
              <w:t>March 2020</w:t>
            </w:r>
          </w:p>
          <w:p w:rsidR="008B0169" w:rsidRDefault="008B0169">
            <w:pPr>
              <w:rPr>
                <w:lang w:val="es-ES_tradnl"/>
              </w:rPr>
            </w:pPr>
          </w:p>
        </w:tc>
        <w:tc>
          <w:tcPr>
            <w:tcW w:w="1585" w:type="dxa"/>
          </w:tcPr>
          <w:p w:rsidR="008B0169" w:rsidRDefault="00DC67E8" w:rsidP="00DC67E8">
            <w:pPr>
              <w:jc w:val="center"/>
            </w:pPr>
            <w:r>
              <w:t>60%</w:t>
            </w:r>
          </w:p>
          <w:p w:rsidR="00A56DDD" w:rsidRDefault="00A56DDD" w:rsidP="00DC67E8">
            <w:pPr>
              <w:jc w:val="center"/>
              <w:rPr>
                <w:lang w:val="es-ES_tradnl"/>
              </w:rPr>
            </w:pPr>
          </w:p>
        </w:tc>
        <w:tc>
          <w:tcPr>
            <w:tcW w:w="1843" w:type="dxa"/>
          </w:tcPr>
          <w:p w:rsidR="008B0169" w:rsidRDefault="00DC67E8" w:rsidP="00DC67E8">
            <w:pPr>
              <w:jc w:val="center"/>
            </w:pPr>
            <w:r>
              <w:t>82%</w:t>
            </w:r>
          </w:p>
        </w:tc>
        <w:tc>
          <w:tcPr>
            <w:tcW w:w="3792" w:type="dxa"/>
          </w:tcPr>
          <w:p w:rsidR="008B0169" w:rsidRDefault="008B0169">
            <w:pPr>
              <w:rPr>
                <w:lang w:val="es-ES_tradnl"/>
              </w:rPr>
            </w:pPr>
          </w:p>
        </w:tc>
      </w:tr>
      <w:tr w:rsidR="008B0169" w:rsidTr="008B0169">
        <w:tc>
          <w:tcPr>
            <w:tcW w:w="2243" w:type="dxa"/>
          </w:tcPr>
          <w:p w:rsidR="008B0169" w:rsidRDefault="0027080C">
            <w:r>
              <w:t>March 2021</w:t>
            </w:r>
          </w:p>
          <w:p w:rsidR="008B0169" w:rsidRDefault="008B0169">
            <w:pPr>
              <w:rPr>
                <w:lang w:val="es-ES_tradnl"/>
              </w:rPr>
            </w:pPr>
          </w:p>
        </w:tc>
        <w:tc>
          <w:tcPr>
            <w:tcW w:w="1585" w:type="dxa"/>
          </w:tcPr>
          <w:p w:rsidR="00A56DDD" w:rsidRDefault="00DC67E8" w:rsidP="00DC67E8">
            <w:pPr>
              <w:jc w:val="center"/>
            </w:pPr>
            <w:r>
              <w:t>100%</w:t>
            </w:r>
          </w:p>
        </w:tc>
        <w:tc>
          <w:tcPr>
            <w:tcW w:w="1843" w:type="dxa"/>
          </w:tcPr>
          <w:p w:rsidR="008B0169" w:rsidRDefault="00DC67E8" w:rsidP="00DC67E8">
            <w:pPr>
              <w:jc w:val="center"/>
            </w:pPr>
            <w:r>
              <w:t>100%</w:t>
            </w:r>
          </w:p>
        </w:tc>
        <w:tc>
          <w:tcPr>
            <w:tcW w:w="3792" w:type="dxa"/>
          </w:tcPr>
          <w:p w:rsidR="008B0169" w:rsidRDefault="00DC67E8">
            <w:r>
              <w:t>After the Governing Board approved the general recruitment scale in June 2020, all calls for the selection for research staff published by the UMH include the scales that will be applied by the selection committees.</w:t>
            </w:r>
          </w:p>
        </w:tc>
      </w:tr>
      <w:tr w:rsidR="00BF6D33" w:rsidTr="008B0169">
        <w:tc>
          <w:tcPr>
            <w:tcW w:w="2243" w:type="dxa"/>
          </w:tcPr>
          <w:p w:rsidR="00BF6D33" w:rsidRDefault="00BF6D33">
            <w:pPr>
              <w:rPr>
                <w:lang w:val="es-ES_tradnl"/>
              </w:rPr>
            </w:pPr>
          </w:p>
          <w:p w:rsidR="00BF6D33" w:rsidRDefault="00BF6D33">
            <w:r>
              <w:t>March 2022</w:t>
            </w:r>
          </w:p>
        </w:tc>
        <w:tc>
          <w:tcPr>
            <w:tcW w:w="1585" w:type="dxa"/>
          </w:tcPr>
          <w:p w:rsidR="00BF6D33" w:rsidRDefault="00BF6D33" w:rsidP="001971D5">
            <w:pPr>
              <w:jc w:val="center"/>
            </w:pPr>
            <w:r>
              <w:t>100%</w:t>
            </w:r>
          </w:p>
        </w:tc>
        <w:tc>
          <w:tcPr>
            <w:tcW w:w="1843" w:type="dxa"/>
          </w:tcPr>
          <w:p w:rsidR="00BF6D33" w:rsidRDefault="00BF6D33" w:rsidP="001971D5">
            <w:pPr>
              <w:jc w:val="center"/>
            </w:pPr>
            <w:r>
              <w:t>100%</w:t>
            </w:r>
          </w:p>
        </w:tc>
        <w:tc>
          <w:tcPr>
            <w:tcW w:w="3792" w:type="dxa"/>
          </w:tcPr>
          <w:p w:rsidR="00BF6D33" w:rsidRDefault="00BF6D33" w:rsidP="001971D5">
            <w:r>
              <w:t>After the Governing Board approved the general recruitment scale in June 2020, all calls for the selection for research staff published by the UMH include the scales that will be applied by the selection committees.</w:t>
            </w:r>
          </w:p>
        </w:tc>
      </w:tr>
      <w:tr w:rsidR="00BF6D33" w:rsidTr="008B0169">
        <w:tc>
          <w:tcPr>
            <w:tcW w:w="2243" w:type="dxa"/>
          </w:tcPr>
          <w:p w:rsidR="00BF6D33" w:rsidRDefault="00BF6D33">
            <w:r>
              <w:t>March 2023</w:t>
            </w:r>
          </w:p>
        </w:tc>
        <w:tc>
          <w:tcPr>
            <w:tcW w:w="1585" w:type="dxa"/>
          </w:tcPr>
          <w:p w:rsidR="00BF6D33" w:rsidRDefault="00BF6D33" w:rsidP="001971D5">
            <w:pPr>
              <w:jc w:val="center"/>
            </w:pPr>
            <w:r>
              <w:t>100%</w:t>
            </w:r>
          </w:p>
        </w:tc>
        <w:tc>
          <w:tcPr>
            <w:tcW w:w="1843" w:type="dxa"/>
          </w:tcPr>
          <w:p w:rsidR="00BF6D33" w:rsidRDefault="00BF6D33" w:rsidP="001971D5">
            <w:pPr>
              <w:jc w:val="center"/>
            </w:pPr>
            <w:r>
              <w:t>100%</w:t>
            </w:r>
          </w:p>
        </w:tc>
        <w:tc>
          <w:tcPr>
            <w:tcW w:w="3792" w:type="dxa"/>
          </w:tcPr>
          <w:p w:rsidR="00BF6D33" w:rsidRDefault="00BF6D33" w:rsidP="001971D5">
            <w:r>
              <w:t>After the Governing Board approved the general recruitment scale in June 2020, all calls for the selection for research staff published by the UMH include the scales that will be applied by the selection committees.</w:t>
            </w:r>
          </w:p>
        </w:tc>
      </w:tr>
      <w:tr w:rsidR="00BF6D33" w:rsidTr="008B0169">
        <w:tc>
          <w:tcPr>
            <w:tcW w:w="2243" w:type="dxa"/>
          </w:tcPr>
          <w:p w:rsidR="00BF6D33" w:rsidRDefault="00BF6D33">
            <w:r>
              <w:t>March 2024</w:t>
            </w:r>
          </w:p>
        </w:tc>
        <w:tc>
          <w:tcPr>
            <w:tcW w:w="1585" w:type="dxa"/>
          </w:tcPr>
          <w:p w:rsidR="00BF6D33" w:rsidRDefault="00BF6D33" w:rsidP="001971D5">
            <w:pPr>
              <w:jc w:val="center"/>
            </w:pPr>
            <w:r>
              <w:t>100%</w:t>
            </w:r>
          </w:p>
        </w:tc>
        <w:tc>
          <w:tcPr>
            <w:tcW w:w="1843" w:type="dxa"/>
          </w:tcPr>
          <w:p w:rsidR="00BF6D33" w:rsidRDefault="00BF6D33" w:rsidP="001971D5">
            <w:pPr>
              <w:jc w:val="center"/>
            </w:pPr>
            <w:r>
              <w:t>100%</w:t>
            </w:r>
          </w:p>
        </w:tc>
        <w:tc>
          <w:tcPr>
            <w:tcW w:w="3792" w:type="dxa"/>
          </w:tcPr>
          <w:p w:rsidR="00BF6D33" w:rsidRDefault="00BF6D33" w:rsidP="001971D5">
            <w:r>
              <w:t>After the Governing Board approved the general recruitment scale in June 2020, all calls for the selection for research staff published by the UMH include the scales that will be applied by the selection committees.</w:t>
            </w:r>
          </w:p>
        </w:tc>
      </w:tr>
    </w:tbl>
    <w:p w:rsidR="006B11BC" w:rsidRPr="006B11BC" w:rsidRDefault="006B11BC">
      <w:pPr>
        <w:rPr>
          <w:lang w:val="es-ES_tradnl"/>
        </w:rPr>
      </w:pPr>
    </w:p>
    <w:sectPr w:rsidR="006B11BC" w:rsidRPr="006B11BC" w:rsidSect="0035377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CBD" w:rsidRDefault="00071CBD" w:rsidP="006B11BC">
      <w:pPr>
        <w:spacing w:after="0" w:line="240" w:lineRule="auto"/>
      </w:pPr>
      <w:r>
        <w:separator/>
      </w:r>
    </w:p>
  </w:endnote>
  <w:endnote w:type="continuationSeparator" w:id="0">
    <w:p w:rsidR="00071CBD" w:rsidRDefault="00071CBD" w:rsidP="006B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47"/>
      <w:docPartObj>
        <w:docPartGallery w:val="Page Numbers (Bottom of Page)"/>
        <w:docPartUnique/>
      </w:docPartObj>
    </w:sdtPr>
    <w:sdtContent>
      <w:sdt>
        <w:sdtPr>
          <w:id w:val="216747587"/>
          <w:docPartObj>
            <w:docPartGallery w:val="Page Numbers (Top of Page)"/>
            <w:docPartUnique/>
          </w:docPartObj>
        </w:sdtPr>
        <w:sdtContent>
          <w:p w:rsidR="006B11BC" w:rsidRDefault="000549C8">
            <w:pPr>
              <w:pStyle w:val="Piedepgina"/>
              <w:jc w:val="right"/>
            </w:pPr>
            <w:r>
              <w:rPr>
                <w:b/>
                <w:sz w:val="24"/>
                <w:szCs w:val="24"/>
              </w:rPr>
              <w:fldChar w:fldCharType="begin"/>
            </w:r>
            <w:r w:rsidR="006B11BC">
              <w:rPr>
                <w:b/>
              </w:rPr>
              <w:instrText>PAGE</w:instrText>
            </w:r>
            <w:r>
              <w:rPr>
                <w:b/>
                <w:sz w:val="24"/>
                <w:szCs w:val="24"/>
              </w:rPr>
              <w:fldChar w:fldCharType="separate"/>
            </w:r>
            <w:r w:rsidR="006339CE">
              <w:rPr>
                <w:b/>
                <w:noProof/>
              </w:rPr>
              <w:t>1</w:t>
            </w:r>
            <w:r>
              <w:rPr>
                <w:b/>
                <w:sz w:val="24"/>
                <w:szCs w:val="24"/>
              </w:rPr>
              <w:fldChar w:fldCharType="end"/>
            </w:r>
            <w:r w:rsidR="00C367AB">
              <w:t xml:space="preserve"> of </w:t>
            </w:r>
            <w:r>
              <w:rPr>
                <w:b/>
                <w:sz w:val="24"/>
                <w:szCs w:val="24"/>
              </w:rPr>
              <w:fldChar w:fldCharType="begin"/>
            </w:r>
            <w:r w:rsidR="006B11BC">
              <w:rPr>
                <w:b/>
              </w:rPr>
              <w:instrText>NUMPAGES</w:instrText>
            </w:r>
            <w:r>
              <w:rPr>
                <w:b/>
                <w:sz w:val="24"/>
                <w:szCs w:val="24"/>
              </w:rPr>
              <w:fldChar w:fldCharType="separate"/>
            </w:r>
            <w:r w:rsidR="006339CE">
              <w:rPr>
                <w:b/>
                <w:noProof/>
              </w:rPr>
              <w:t>1</w:t>
            </w:r>
            <w:r>
              <w:rPr>
                <w:b/>
                <w:sz w:val="24"/>
                <w:szCs w:val="24"/>
              </w:rPr>
              <w:fldChar w:fldCharType="end"/>
            </w:r>
          </w:p>
        </w:sdtContent>
      </w:sdt>
    </w:sdtContent>
  </w:sdt>
  <w:p w:rsidR="006B11BC" w:rsidRDefault="006B11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CBD" w:rsidRDefault="00071CBD" w:rsidP="006B11BC">
      <w:pPr>
        <w:spacing w:after="0" w:line="240" w:lineRule="auto"/>
      </w:pPr>
      <w:r>
        <w:separator/>
      </w:r>
    </w:p>
  </w:footnote>
  <w:footnote w:type="continuationSeparator" w:id="0">
    <w:p w:rsidR="00071CBD" w:rsidRDefault="00071CBD" w:rsidP="006B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207" w:type="dxa"/>
      <w:tblInd w:w="-743" w:type="dxa"/>
      <w:tblLook w:val="04A0"/>
    </w:tblPr>
    <w:tblGrid>
      <w:gridCol w:w="10207"/>
    </w:tblGrid>
    <w:tr w:rsidR="007D709F" w:rsidTr="007D709F">
      <w:tc>
        <w:tcPr>
          <w:tcW w:w="10207" w:type="dxa"/>
        </w:tcPr>
        <w:p w:rsidR="007D709F" w:rsidRDefault="007D709F">
          <w:pPr>
            <w:pStyle w:val="Encabezado"/>
            <w:rPr>
              <w:b/>
            </w:rPr>
          </w:pPr>
          <w:r>
            <w:rPr>
              <w:b/>
            </w:rPr>
            <w:t>Indicator Definition:</w:t>
          </w:r>
        </w:p>
        <w:p w:rsidR="00A56DDD" w:rsidRDefault="00A56DDD">
          <w:pPr>
            <w:pStyle w:val="Encabezado"/>
            <w:rPr>
              <w:b/>
            </w:rPr>
          </w:pPr>
        </w:p>
        <w:p w:rsidR="007D709F" w:rsidRDefault="00533E50" w:rsidP="00513B37">
          <w:r>
            <w:t>1i. Survey on the members of internal and external UMH selection committees</w:t>
          </w:r>
        </w:p>
      </w:tc>
    </w:tr>
  </w:tbl>
  <w:p w:rsidR="006B11BC" w:rsidRDefault="006B11B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B11BC"/>
    <w:rsid w:val="000302FD"/>
    <w:rsid w:val="000549C8"/>
    <w:rsid w:val="00071CBD"/>
    <w:rsid w:val="000755B1"/>
    <w:rsid w:val="001100F1"/>
    <w:rsid w:val="001773C8"/>
    <w:rsid w:val="00246B87"/>
    <w:rsid w:val="0027080C"/>
    <w:rsid w:val="00301F64"/>
    <w:rsid w:val="00313E27"/>
    <w:rsid w:val="0031747D"/>
    <w:rsid w:val="003501F4"/>
    <w:rsid w:val="00353774"/>
    <w:rsid w:val="00367CA0"/>
    <w:rsid w:val="00424978"/>
    <w:rsid w:val="004874AF"/>
    <w:rsid w:val="00490FF1"/>
    <w:rsid w:val="00491C0F"/>
    <w:rsid w:val="00501EC7"/>
    <w:rsid w:val="00504778"/>
    <w:rsid w:val="00513B37"/>
    <w:rsid w:val="00533E50"/>
    <w:rsid w:val="0056630A"/>
    <w:rsid w:val="005A18FF"/>
    <w:rsid w:val="005A2B9E"/>
    <w:rsid w:val="006339CE"/>
    <w:rsid w:val="00657EA4"/>
    <w:rsid w:val="006714C7"/>
    <w:rsid w:val="006A086B"/>
    <w:rsid w:val="006B11BC"/>
    <w:rsid w:val="0073426F"/>
    <w:rsid w:val="007378C0"/>
    <w:rsid w:val="007466DC"/>
    <w:rsid w:val="007633DB"/>
    <w:rsid w:val="007D709F"/>
    <w:rsid w:val="007D789A"/>
    <w:rsid w:val="007F4FDF"/>
    <w:rsid w:val="008B0169"/>
    <w:rsid w:val="00931262"/>
    <w:rsid w:val="009B6BA4"/>
    <w:rsid w:val="00A24F21"/>
    <w:rsid w:val="00A56DDD"/>
    <w:rsid w:val="00AA35A5"/>
    <w:rsid w:val="00AC086D"/>
    <w:rsid w:val="00AC7AB3"/>
    <w:rsid w:val="00AE79C5"/>
    <w:rsid w:val="00B80CE1"/>
    <w:rsid w:val="00BF6D33"/>
    <w:rsid w:val="00C367AB"/>
    <w:rsid w:val="00C41F1D"/>
    <w:rsid w:val="00D334A9"/>
    <w:rsid w:val="00D704CF"/>
    <w:rsid w:val="00DB54A0"/>
    <w:rsid w:val="00DC67E8"/>
    <w:rsid w:val="00E37B55"/>
    <w:rsid w:val="00EC60A8"/>
    <w:rsid w:val="00EF580F"/>
    <w:rsid w:val="00F47820"/>
    <w:rsid w:val="00F84489"/>
    <w:rsid w:val="00FE65B5"/>
    <w:rsid w:val="00FF21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1BC"/>
  </w:style>
  <w:style w:type="paragraph" w:styleId="Piedepgina">
    <w:name w:val="footer"/>
    <w:basedOn w:val="Normal"/>
    <w:link w:val="PiedepginaCar"/>
    <w:uiPriority w:val="99"/>
    <w:unhideWhenUsed/>
    <w:rsid w:val="006B1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1BC"/>
  </w:style>
  <w:style w:type="paragraph" w:styleId="Textodeglobo">
    <w:name w:val="Balloon Text"/>
    <w:basedOn w:val="Normal"/>
    <w:link w:val="TextodegloboCar"/>
    <w:uiPriority w:val="99"/>
    <w:semiHidden/>
    <w:unhideWhenUsed/>
    <w:rsid w:val="006B1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BC"/>
    <w:rPr>
      <w:rFonts w:ascii="Tahoma" w:hAnsi="Tahoma" w:cs="Tahoma"/>
      <w:sz w:val="16"/>
      <w:szCs w:val="16"/>
    </w:rPr>
  </w:style>
  <w:style w:type="table" w:styleId="Tablaconcuadrcula">
    <w:name w:val="Table Grid"/>
    <w:basedOn w:val="Tablanormal"/>
    <w:uiPriority w:val="59"/>
    <w:rsid w:val="006B1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manuel.jordan</cp:lastModifiedBy>
  <cp:revision>2</cp:revision>
  <cp:lastPrinted>2017-09-14T07:34:00Z</cp:lastPrinted>
  <dcterms:created xsi:type="dcterms:W3CDTF">2024-03-28T10:16:00Z</dcterms:created>
  <dcterms:modified xsi:type="dcterms:W3CDTF">2024-03-28T10:16:00Z</dcterms:modified>
</cp:coreProperties>
</file>